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Umowa o stałą obsługę BHP</w:t>
        <w:br/>
        <w:t>i ochronę przeciwpożarową</w:t>
      </w:r>
    </w:p>
    <w:p>
      <w:pPr>
        <w:keepLines w:val="0"/>
        <w:widowControl/>
        <w:spacing w:after="140" w:line="269" w:lineRule="auto"/>
      </w:pPr>
      <w:r>
        <w:t>Wzór do indywidualnego uzgodnienia • umowa nr [________]</w:t>
      </w:r>
    </w:p>
    <w:p>
      <w:pPr>
        <w:keepLines w:val="0"/>
        <w:widowControl/>
        <w:spacing w:after="140" w:line="269" w:lineRule="auto"/>
      </w:pPr>
      <w:r>
        <w:t>Zawarta w [miejscowość] dnia [data], pomiędzy następującymi przedsiębiorcami.</w:t>
      </w:r>
    </w:p>
    <w:p>
      <w:pPr>
        <w:pStyle w:val="Heading1"/>
        <w:keepNext/>
        <w:widowControl/>
        <w:spacing w:before="240" w:after="120"/>
      </w:pPr>
      <w:r>
        <w:t>Strony umowy</w:t>
      </w:r>
    </w:p>
    <w:p>
      <w:pPr>
        <w:keepLines w:val="0"/>
        <w:widowControl/>
        <w:spacing w:after="140" w:line="269" w:lineRule="auto"/>
      </w:pPr>
      <w:r>
        <w:t>Zamawiający: [pełna nazwa / imię i nazwisko przedsiębiorcy], z siedzibą / adresem wykonywania działalności [________], NIP [________], REGON / KRS [________], reprezentowany przez [imię, nazwisko i podstawa umocowania], zwany dalej „Zamawiającym”.</w:t>
      </w:r>
    </w:p>
    <w:p>
      <w:pPr>
        <w:keepLines w:val="0"/>
        <w:widowControl/>
        <w:spacing w:after="140" w:line="269" w:lineRule="auto"/>
      </w:pPr>
      <w:r>
        <w:t>Wykonawca: Andrzej Paździorko, prowadzący działalność gospodarczą pod firmą [pełna firma zgodna z CEIDG] – ENGADDi – Usługi BHP, adres [________], NIP [________], REGON [________], zwany dalej „Wykonawcą”. Kontakt: 792 208 381, pazdziorko.andrzej@gmail.com.</w:t>
      </w:r>
    </w:p>
    <w:p>
      <w:pPr>
        <w:pStyle w:val="Heading1"/>
        <w:keepNext/>
        <w:widowControl/>
        <w:spacing w:before="240" w:after="120"/>
      </w:pPr>
      <w:r>
        <w:t>§ 1  Przedmiot i granice współpracy</w:t>
      </w:r>
    </w:p>
    <w:p>
      <w:pPr>
        <w:keepLines w:val="0"/>
        <w:widowControl/>
        <w:spacing w:after="140" w:line="269" w:lineRule="auto"/>
      </w:pPr>
      <w:r>
        <w:t>1. Wykonawca zobowiązuje się do stałego świadczenia usług doradczych i kontrolnych w zakresie bezpieczeństwa i higieny pracy oraz ochrony przeciwpożarowej w obiektach wskazanych w załączniku nr 1. Szczegółowy zakres, limity świadczeń i warunki finansowe określa ten załącznik.</w:t>
      </w:r>
    </w:p>
    <w:p>
      <w:pPr>
        <w:keepLines w:val="0"/>
        <w:widowControl/>
        <w:spacing w:after="140" w:line="269" w:lineRule="auto"/>
      </w:pPr>
      <w:r>
        <w:t>2. Powierzenie wykonywania zadań służby BHP specjaliście spoza zakładu pracy następuje wyłącznie w przypadkach dopuszczonych przez art. 237¹¹ Kodeksu pracy. Przed rozpoczęciem obsługi strony ustalają stan zatrudnienia i wymaganą organizację służby BHP. Gdy nie jest dopuszczalne takie powierzenie, umowa obejmuje wsparcie doradcze i nie zastępuje wymaganej służby BHP.</w:t>
      </w:r>
    </w:p>
    <w:p>
      <w:pPr>
        <w:keepLines w:val="0"/>
        <w:widowControl/>
        <w:spacing w:after="140" w:line="269" w:lineRule="auto"/>
      </w:pPr>
      <w:r>
        <w:t>3. Wykonawca wykonuje czynności w granicach posiadanych, aktualnych kwalifikacji. Wykonawca przedstawia dokumenty potwierdzające kwalifikacje i wymagane szkolenia; dane dokumentów wpisuje się do załącznika nr 1. Nie potwierdza się kwalifikacji samym użyciem tytułu zawodowego w umowie.</w:t>
      </w:r>
    </w:p>
    <w:p>
      <w:pPr>
        <w:keepLines w:val="0"/>
        <w:widowControl/>
        <w:spacing w:after="140" w:line="269" w:lineRule="auto"/>
      </w:pPr>
      <w:r>
        <w:t>4. Umowa ma charakter starannego działania. Nie stanowi gwarancji niewystąpienia wypadku, pożaru ani braku zastrzeżeń organów kontrolnych. Nie przenosi na Wykonawcę ustawowej odpowiedzialności pracodawcy za stan BHP ani obowiązków właściciela, zarządcy lub użytkownika obiektu wykraczających poza powierzony zakres czynności.</w:t>
      </w:r>
    </w:p>
    <w:p>
      <w:pPr>
        <w:pStyle w:val="Heading1"/>
        <w:keepNext/>
        <w:widowControl/>
        <w:spacing w:before="240" w:after="120"/>
      </w:pPr>
      <w:r>
        <w:t>§ 2  Zakres obsługi BHP</w:t>
      </w:r>
    </w:p>
    <w:p>
      <w:pPr>
        <w:keepLines w:val="0"/>
        <w:widowControl/>
        <w:spacing w:after="140" w:line="269" w:lineRule="auto"/>
      </w:pPr>
      <w:r>
        <w:t>1. W zakresie uzgodnionym w załączniku nr 1 obsługa obejmuje kontrolę warunków pracy i przestrzegania przepisów oraz zasad BHP, informowanie pracodawcy o zagrożeniach i przedstawianie wniosków profilaktycznych, a także doradztwo w organizacji bezpiecznej pracy.</w:t>
      </w:r>
    </w:p>
    <w:p>
      <w:pPr>
        <w:keepLines w:val="0"/>
        <w:widowControl/>
        <w:spacing w:after="140" w:line="269" w:lineRule="auto"/>
      </w:pPr>
      <w:r>
        <w:t>2. Obsługa może obejmować udział w ocenie ryzyka zawodowego i jej aktualizacji, opiniowanie instrukcji, analizę stanu BHP, wsparcie w prowadzeniu wymaganych rejestrów, dobór środków ochrony, współpracę z osobami kierującymi pracownikami oraz przygotowanie do kontroli i realizacji zaleceń. W przypadku powierzenia zadań służby BHP stosuje się ustawowy zakres jej zadań i uprawnień; limity handlowe nie uchylają wymaganych prawem obowiązków.</w:t>
      </w:r>
    </w:p>
    <w:p>
      <w:pPr>
        <w:keepLines w:val="0"/>
        <w:widowControl/>
        <w:spacing w:after="140" w:line="269" w:lineRule="auto"/>
      </w:pPr>
      <w:r>
        <w:t>3. Szkolenia BHP, przygotowanie nowych ocen ryzyka lub instrukcji, udział w zespołach powypadkowych i opracowanie dokumentacji powypadkowej są objęte ryczałtem tylko w zakresie wyraźnie wskazanym w załączniku nr 1. Pozostałe czynności wymagają odrębnego zlecenia i uzgodnienia ceny. Realizacja szkoleń wymaga spełnienia odrębnych warunków organizacyjnych i kwalifikacyjnych.</w:t>
      </w:r>
    </w:p>
    <w:p>
      <w:pPr>
        <w:pStyle w:val="Heading1"/>
        <w:keepNext/>
        <w:widowControl/>
        <w:spacing w:before="240" w:after="120"/>
      </w:pPr>
      <w:r>
        <w:t>§ 3  Zakres ochrony przeciwpożarowej</w:t>
      </w:r>
    </w:p>
    <w:p>
      <w:pPr>
        <w:keepLines w:val="0"/>
        <w:widowControl/>
        <w:spacing w:after="140" w:line="269" w:lineRule="auto"/>
      </w:pPr>
      <w:r>
        <w:t>1. Obsługa obejmuje uzgodnione przeglądy organizacyjne stanu ochrony przeciwpożarowej, w szczególności dostępności dróg i wyjść ewakuacyjnych, oznakowania, dostępu do podręcznego sprzętu gaśniczego i dokumentacji, a także zgłaszanie stwierdzonych nieprawidłowości oraz zaleceń.</w:t>
      </w:r>
    </w:p>
    <w:p>
      <w:pPr>
        <w:keepLines w:val="0"/>
        <w:widowControl/>
        <w:spacing w:after="140" w:line="269" w:lineRule="auto"/>
      </w:pPr>
      <w:r>
        <w:t>2. Wykonawca wspiera Zamawiającego w ustalaniu zasad postępowania na wypadek pożaru, zapoznawaniu pracowników z tymi zasadami, organizacji praktycznego sprawdzenia ewakuacji oraz kontroli terminów przeglądów urządzeń przeciwpożarowych. Zakres i częstotliwość działań określa załącznik nr 1.</w:t>
      </w:r>
    </w:p>
    <w:p>
      <w:pPr>
        <w:keepLines w:val="0"/>
        <w:widowControl/>
        <w:spacing w:after="140" w:line="269" w:lineRule="auto"/>
      </w:pPr>
      <w:r>
        <w:t>3. Opracowanie lub aktualizacja instrukcji bezpieczeństwa pożarowego, szkolenia, ćwiczenia ewakuacyjne oraz przeglądy i konserwacja gaśnic wymagają wyraźnego wskazania w załączniku. Przegląd organizacyjny nie jest przeglądem technicznym ani potwierdzeniem sprawności urządzenia.</w:t>
      </w:r>
    </w:p>
    <w:p>
      <w:pPr>
        <w:keepLines w:val="0"/>
        <w:widowControl/>
        <w:spacing w:after="140" w:line="269" w:lineRule="auto"/>
      </w:pPr>
      <w:r>
        <w:t>4. Umowa nie obejmuje automatycznie ekspertyz i uzgodnień rzeczoznawcy, projektowania zabezpieczeń, pomiarów instalacji ani serwisu urządzeń. Czynności wymagające odrębnych kwalifikacji wykonuje odpowiednio uprawniona osoba na podstawie osobnego uzgodnienia. Wykonawca nie podejmuje zadań wykraczających poza swoje uprawnienia.</w:t>
      </w:r>
    </w:p>
    <w:p>
      <w:pPr>
        <w:pStyle w:val="Heading1"/>
        <w:keepNext/>
        <w:widowControl/>
        <w:spacing w:before="240" w:after="120"/>
      </w:pPr>
      <w:r>
        <w:t>§ 4  Organizacja i obowiązki stron</w:t>
      </w:r>
    </w:p>
    <w:p>
      <w:pPr>
        <w:keepLines w:val="0"/>
        <w:widowControl/>
        <w:spacing w:after="140" w:line="269" w:lineRule="auto"/>
      </w:pPr>
      <w:r>
        <w:t>1. Wizyty odbywają się zgodnie z załącznikiem nr 1 i harmonogramem uzgadnianym e-mailem. Konsultacje zdalne uzupełniają wizyty; nie zastępują oględzin, gdy ocena wymaga obecności w zakładzie. Umowa nie ustanawia całodobowego dyżuru ani służby ratowniczej.</w:t>
      </w:r>
    </w:p>
    <w:p>
      <w:pPr>
        <w:keepLines w:val="0"/>
        <w:widowControl/>
        <w:spacing w:after="140" w:line="269" w:lineRule="auto"/>
      </w:pPr>
      <w:r>
        <w:t>2. Wykonawca dokumentuje wizyty i zalecenia w notatce lub protokole, przekazywanym w ciągu [____] dni roboczych. Zagrożenia wymagające pilnych działań zgłasza niezwłocznie pracodawcy lub wskazanej osobie. Termin odpowiedzi na zwykłe zgłoszenie wynosi [____] dni roboczych i nie jest terminem usunięcia zagrożenia.</w:t>
      </w:r>
    </w:p>
    <w:p>
      <w:pPr>
        <w:keepLines w:val="0"/>
        <w:widowControl/>
        <w:spacing w:after="140" w:line="269" w:lineRule="auto"/>
      </w:pPr>
      <w:r>
        <w:t>3. Zamawiający zapewnia dostęp do obiektów, stanowisk i dokumentów niezbędnych do wykonania umowy, przekazuje prawdziwe i kompletne informacje oraz wyznacza osobę do współpracy. Zapewnia środki na realizację zaleceń i podejmuje decyzje organizacyjne; informuje o wykonaniu albo przyczynach niewykonania zaleceń.</w:t>
      </w:r>
    </w:p>
    <w:p>
      <w:pPr>
        <w:keepLines w:val="0"/>
        <w:widowControl/>
        <w:spacing w:after="140" w:line="269" w:lineRule="auto"/>
      </w:pPr>
      <w:r>
        <w:t>4. Zamawiający niezwłocznie informuje o wypadkach, zdarzeniach potencjalnie wypadkowych, pożarach, kontrolach, zmianach zatrudnienia, technologii, substancji i sposobu użytkowania obiektów. Zgłoszenie Wykonawcy nie zastępuje wymaganych zawiadomień organów i służb ani działań zabezpieczających.</w:t>
      </w:r>
    </w:p>
    <w:p>
      <w:pPr>
        <w:keepLines w:val="0"/>
        <w:widowControl/>
        <w:spacing w:after="140" w:line="269" w:lineRule="auto"/>
      </w:pPr>
      <w:r>
        <w:t>5. Przy bezpośrednim zagrożeniu Zamawiający podejmuje niezwłoczne działania ochronne, niezależnie od dostępności Wykonawcy. Uprawnienia Wykonawcy wynikające z przepisów dotyczących służby BHP pozostają zachowane.</w:t>
      </w:r>
    </w:p>
    <w:p>
      <w:pPr>
        <w:pStyle w:val="Heading1"/>
        <w:keepNext/>
        <w:widowControl/>
        <w:spacing w:before="240" w:after="120"/>
      </w:pPr>
      <w:r>
        <w:t>§ 5  Wynagrodzenie i rozliczenia</w:t>
      </w:r>
    </w:p>
    <w:p>
      <w:pPr>
        <w:keepLines w:val="0"/>
        <w:widowControl/>
        <w:spacing w:after="140" w:line="269" w:lineRule="auto"/>
      </w:pPr>
      <w:r>
        <w:t>1. Miesięczne wynagrodzenie ryczałtowe wynosi [________] zł netto, powiększone o VAT według właściwej stawki. Zakres ryczałtu, koszty dojazdu oraz stawki usług dodatkowych określa załącznik nr 1. Puste pole w zakresie usług dodatkowych nie oznacza objęcia ich ryczałtem.</w:t>
      </w:r>
    </w:p>
    <w:p>
      <w:pPr>
        <w:keepLines w:val="0"/>
        <w:widowControl/>
        <w:spacing w:after="140" w:line="269" w:lineRule="auto"/>
      </w:pPr>
      <w:r>
        <w:t>2. Zapłata następuje przelewem na rachunek wskazany na fakturze, w terminie [____] dni od jej prawidłowego doręczenia. Okres rozliczeniowy stanowi miesiąc kalendarzowy. Za niepełny miesiąc wynagrodzenie nalicza się proporcjonalnie do liczby dni świadczenia usług.</w:t>
      </w:r>
    </w:p>
    <w:p>
      <w:pPr>
        <w:keepLines w:val="0"/>
        <w:widowControl/>
        <w:spacing w:after="140" w:line="269" w:lineRule="auto"/>
      </w:pPr>
      <w:r>
        <w:t>3. Usługa dodatkowa wymaga uprzedniej akceptacji zakresu i ceny przez Zamawiającego co najmniej e-mailem. Zmiana ryczałtu, zakresu lub częstotliwości wizyt wymaga uzgodnienia obu stron. W razie opóźnienia w płatności stosuje się właściwe odsetki ustawowe i inne uprawnienia wynikające z przepisów.</w:t>
      </w:r>
    </w:p>
    <w:p>
      <w:pPr>
        <w:pStyle w:val="Heading1"/>
        <w:keepNext/>
        <w:widowControl/>
        <w:spacing w:before="240" w:after="120"/>
      </w:pPr>
      <w:r>
        <w:t>§ 6  Poufność dane i dokumentacja</w:t>
      </w:r>
    </w:p>
    <w:p>
      <w:pPr>
        <w:keepLines w:val="0"/>
        <w:widowControl/>
        <w:spacing w:after="140" w:line="269" w:lineRule="auto"/>
      </w:pPr>
      <w:r>
        <w:t>1. Strony zachowują poufność niepublicznych informacji uzyskanych w związku z umową, również po jej zakończeniu. Obowiązek nie ogranicza udostępniania danych wymaganego prawem ani przekazywania informacji uprawnionym organom.</w:t>
      </w:r>
    </w:p>
    <w:p>
      <w:pPr>
        <w:keepLines w:val="0"/>
        <w:widowControl/>
        <w:spacing w:after="140" w:line="269" w:lineRule="auto"/>
      </w:pPr>
      <w:r>
        <w:t>2. Każda strona przetwarza dane kontaktowe osób reprezentujących i współpracujących jako odrębny administrator, w zakresie wynikającym z prawa i realizacji umowy. Role stron dla danych pracowników, w tym danych o zdrowiu i wypadkach, ustala się przed ich przekazaniem, stosownie do rzeczywistych czynności i podstaw prawnych.</w:t>
      </w:r>
    </w:p>
    <w:p>
      <w:pPr>
        <w:keepLines w:val="0"/>
        <w:widowControl/>
        <w:spacing w:after="140" w:line="269" w:lineRule="auto"/>
      </w:pPr>
      <w:r>
        <w:t>3. Jeżeli Wykonawca będzie przetwarzał dane osobowe w imieniu Zamawiającego, przed rozpoczęciem tego przetwarzania strony zawrą odrębną umowę powierzenia zgodną z art. 28 RODO. Niniejszy paragraf nie zastępuje umowy powierzenia. Dostęp ogranicza się do danych niezbędnych, przekazywanych bezpiecznym kanałem.</w:t>
      </w:r>
    </w:p>
    <w:p>
      <w:pPr>
        <w:keepLines w:val="0"/>
        <w:widowControl/>
        <w:spacing w:after="140" w:line="269" w:lineRule="auto"/>
      </w:pPr>
      <w:r>
        <w:t>4. Oryginały dokumentów pozostają u Zamawiającego, chyba że strony protokolarnie ustalą inaczej. Po zapłacie Zamawiający może korzystać z dokumentów przygotowanych dla niego do własnych potrzeb związanych z działalnością. W ciągu [____] dni od zakończenia umowy Wykonawca przekazuje dokumentację i zestawienie otwartych spraw; zwrot, usunięcie lub przechowywanie danych następuje zgodnie z prawem i ustalonymi rolami stron.</w:t>
      </w:r>
    </w:p>
    <w:p>
      <w:pPr>
        <w:pStyle w:val="Heading1"/>
        <w:keepNext/>
        <w:widowControl/>
        <w:spacing w:before="240" w:after="120"/>
      </w:pPr>
      <w:r>
        <w:t>§ 7  Odpowiedzialność i zakończenie umowy</w:t>
      </w:r>
    </w:p>
    <w:p>
      <w:pPr>
        <w:keepLines w:val="0"/>
        <w:widowControl/>
        <w:spacing w:after="140" w:line="269" w:lineRule="auto"/>
      </w:pPr>
      <w:r>
        <w:t>1. Strony odpowiadają za niewykonanie lub nienależyte wykonanie swoich obowiązków na zasadach Kodeksu cywilnego. Wykonawca odpowiada za osoby, którymi posługuje się przy wykonaniu umowy, jak za własne działania. Podwykonawcy muszą mieć kwalifikacje odpowiednie do powierzonych czynności.</w:t>
      </w:r>
    </w:p>
    <w:p>
      <w:pPr>
        <w:keepLines w:val="0"/>
        <w:widowControl/>
        <w:spacing w:after="140" w:line="269" w:lineRule="auto"/>
      </w:pPr>
      <w:r>
        <w:t>2. Umowa obowiązuje od [data] na czas nieoznaczony. Każda strona może ją wypowiedzieć z zachowaniem jednomiesięcznego okresu wypowiedzenia ze skutkiem na koniec miesiąca. Zachowuje się prawo wypowiedzenia z ważnych powodów bez zachowania tego okresu, zgodnie z art. 746 w związku z art. 750 Kodeksu cywilnego. Strony rozliczają dotychczas wykonane czynności i uzgodnione wydatki.</w:t>
      </w:r>
    </w:p>
    <w:p>
      <w:pPr>
        <w:keepLines w:val="0"/>
        <w:widowControl/>
        <w:spacing w:after="140" w:line="269" w:lineRule="auto"/>
      </w:pPr>
      <w:r>
        <w:t>3. Wypowiedzenie wymaga formy dokumentowej, w tym e-maila umożliwiającego ustalenie nadawcy, na adres kontaktowy drugiej strony. Zmiany umowy wymagają formy pisemnej lub elektronicznej opatrzonej kwalifikowanym podpisem elektronicznym; uzgodnienia operacyjne mogą następować e-mailem.</w:t>
      </w:r>
    </w:p>
    <w:p>
      <w:pPr>
        <w:keepLines w:val="0"/>
        <w:widowControl/>
        <w:spacing w:after="140" w:line="269" w:lineRule="auto"/>
      </w:pPr>
      <w:r>
        <w:t>4. W sprawach nieuregulowanych stosuje się prawo polskie. Spory strony najpierw starają się rozwiązać polubownie, a następnie przed sądem właściwym na zasadach ogólnych. Załącznik nr 1 jest integralną częścią umowy. Umowę sporządzono w dwóch egzemplarzach albo podpisano elektronicznie.</w:t>
      </w:r>
    </w:p>
    <w:p>
      <w:pPr>
        <w:keepLines w:val="0"/>
        <w:widowControl/>
        <w:spacing w:after="140" w:line="269" w:lineRule="auto"/>
      </w:pPr>
      <w:r>
        <w:t>ZAMAWIAJĄCY                                        WYKONAWCA</w:t>
        <w:br/>
        <w:br/>
        <w:t>........................................                     ........................................</w:t>
      </w:r>
    </w:p>
    <w:p>
      <w:pPr>
        <w:pStyle w:val="Title"/>
        <w:pageBreakBefore/>
        <w:widowControl/>
      </w:pPr>
      <w:r>
        <w:t>Załącznik nr 1</w:t>
        <w:br/>
        <w:t>Warunki obsługi</w:t>
      </w:r>
    </w:p>
    <w:p>
      <w:pPr>
        <w:keepLines w:val="0"/>
        <w:widowControl/>
        <w:spacing w:after="140" w:line="269" w:lineRule="auto"/>
      </w:pPr>
      <w:r>
        <w:t>Do umowy nr [________] z dnia [________]. Wszystkie pola należy uzgodnić przed podpisaniem.</w:t>
      </w:r>
    </w:p>
    <w:p>
      <w:pPr>
        <w:pStyle w:val="Heading1"/>
        <w:keepNext/>
        <w:widowControl/>
        <w:spacing w:before="240" w:after="120"/>
      </w:pPr>
      <w:r>
        <w:t>Obiekty i organizacja</w:t>
      </w:r>
    </w:p>
    <w:p>
      <w:pPr>
        <w:keepLines w:val="0"/>
        <w:widowControl/>
        <w:spacing w:after="140" w:line="269" w:lineRule="auto"/>
      </w:pPr>
      <w:r>
        <w:t>Adresy obsługiwanych obiektów: [________________________________]</w:t>
        <w:br/>
        <w:t>Rodzaj działalności i liczba pracowników: [________________________]</w:t>
        <w:br/>
        <w:t>Tryb obsługi BHP: [powierzenie zadań dopuszczalne prawem / wsparcie służby BHP]</w:t>
        <w:br/>
        <w:t>Wizyty: [____] w miesiącu, po [____] godzin. Konsultacje: [____] godzin w miesiącu.</w:t>
        <w:br/>
        <w:t>Dni i godziny dostępności: [________]. Dojazd: [w cenie / stawka ________].</w:t>
      </w:r>
    </w:p>
    <w:p>
      <w:pPr>
        <w:pStyle w:val="Heading1"/>
        <w:keepNext/>
        <w:widowControl/>
        <w:spacing w:before="240" w:after="120"/>
      </w:pPr>
      <w:r>
        <w:t>Zakres i limity w miesięcznym ryczałcie</w:t>
      </w:r>
    </w:p>
    <w:tbl>
      <w:tblPr>
        <w:tblW w:type="auto" w:w="0"/>
        <w:tblLayout w:type="fixed"/>
        <w:tblLook w:firstColumn="1" w:firstRow="1" w:lastColumn="0" w:lastRow="0" w:noHBand="0" w:noVBand="1" w:val="04A0"/>
      </w:tblPr>
      <w:tblGrid>
        <w:gridCol w:w="3744"/>
        <w:gridCol w:w="6192"/>
      </w:tblGrid>
      <w:tr>
        <w:trPr>
          <w:cantSplit/>
        </w:trPr>
        <w:tc>
          <w:tcPr>
            <w:tcW w:type="dxa" w:w="3744"/>
            <w:tcBorders>
              <w:top w:val="single" w:sz="4" w:color="D9D9D9"/>
              <w:left w:val="single" w:sz="4" w:color="D9D9D9"/>
              <w:bottom w:val="single" w:sz="4" w:color="D9D9D9"/>
              <w:right w:val="single" w:sz="4" w:color="D9D9D9"/>
            </w:tcBorders>
            <w:shd w:fill="E6EEF5"/>
          </w:tcPr>
          <w:p>
            <w:pPr>
              <w:spacing w:after="80" w:before="80"/>
            </w:pPr>
            <w:r>
              <w:rPr>
                <w:sz w:val="18"/>
              </w:rPr>
              <w:t>Czynność</w:t>
            </w:r>
          </w:p>
        </w:tc>
        <w:tc>
          <w:tcPr>
            <w:tcW w:type="dxa" w:w="6192"/>
            <w:tcBorders>
              <w:top w:val="single" w:sz="4" w:color="D9D9D9"/>
              <w:left w:val="single" w:sz="4" w:color="D9D9D9"/>
              <w:bottom w:val="single" w:sz="4" w:color="D9D9D9"/>
              <w:right w:val="single" w:sz="4" w:color="D9D9D9"/>
            </w:tcBorders>
            <w:shd w:fill="E6EEF5"/>
          </w:tcPr>
          <w:p>
            <w:pPr>
              <w:spacing w:after="80" w:before="80"/>
            </w:pPr>
            <w:r>
              <w:rPr>
                <w:sz w:val="18"/>
              </w:rPr>
              <w:t>W ryczałcie i limit albo odrębne zlecenie</w:t>
            </w:r>
          </w:p>
        </w:tc>
      </w:tr>
      <w:tr>
        <w:trPr>
          <w:cantSplit/>
        </w:trPr>
        <w:tc>
          <w:tcPr>
            <w:tcW w:type="dxa" w:w="3744"/>
            <w:tcBorders>
              <w:top w:val="single" w:sz="4" w:color="D9D9D9"/>
              <w:left w:val="single" w:sz="4" w:color="D9D9D9"/>
              <w:bottom w:val="single" w:sz="4" w:color="D9D9D9"/>
              <w:right w:val="single" w:sz="4" w:color="D9D9D9"/>
            </w:tcBorders>
          </w:tcPr>
          <w:p>
            <w:pPr>
              <w:spacing w:after="80" w:before="80"/>
            </w:pPr>
            <w:r>
              <w:rPr>
                <w:sz w:val="18"/>
              </w:rPr>
              <w:t>Kontrole BHP i zalecenia</w:t>
            </w:r>
          </w:p>
        </w:tc>
        <w:tc>
          <w:tcPr>
            <w:tcW w:type="dxa" w:w="6192"/>
            <w:tcBorders>
              <w:top w:val="single" w:sz="4" w:color="D9D9D9"/>
              <w:left w:val="single" w:sz="4" w:color="D9D9D9"/>
              <w:bottom w:val="single" w:sz="4" w:color="D9D9D9"/>
              <w:right w:val="single" w:sz="4" w:color="D9D9D9"/>
            </w:tcBorders>
          </w:tcPr>
          <w:p>
            <w:pPr>
              <w:spacing w:after="80" w:before="80"/>
            </w:pPr>
            <w:r>
              <w:rPr>
                <w:sz w:val="18"/>
              </w:rPr>
              <w:t>[________________________________]</w:t>
            </w:r>
          </w:p>
        </w:tc>
      </w:tr>
      <w:tr>
        <w:trPr>
          <w:cantSplit/>
        </w:trPr>
        <w:tc>
          <w:tcPr>
            <w:tcW w:type="dxa" w:w="3744"/>
            <w:tcBorders>
              <w:top w:val="single" w:sz="4" w:color="D9D9D9"/>
              <w:left w:val="single" w:sz="4" w:color="D9D9D9"/>
              <w:bottom w:val="single" w:sz="4" w:color="D9D9D9"/>
              <w:right w:val="single" w:sz="4" w:color="D9D9D9"/>
            </w:tcBorders>
          </w:tcPr>
          <w:p>
            <w:pPr>
              <w:spacing w:after="80" w:before="80"/>
            </w:pPr>
            <w:r>
              <w:rPr>
                <w:sz w:val="18"/>
              </w:rPr>
              <w:t>Analizy rejestry i konsultacje BHP</w:t>
            </w:r>
          </w:p>
        </w:tc>
        <w:tc>
          <w:tcPr>
            <w:tcW w:type="dxa" w:w="6192"/>
            <w:tcBorders>
              <w:top w:val="single" w:sz="4" w:color="D9D9D9"/>
              <w:left w:val="single" w:sz="4" w:color="D9D9D9"/>
              <w:bottom w:val="single" w:sz="4" w:color="D9D9D9"/>
              <w:right w:val="single" w:sz="4" w:color="D9D9D9"/>
            </w:tcBorders>
          </w:tcPr>
          <w:p>
            <w:pPr>
              <w:spacing w:after="80" w:before="80"/>
            </w:pPr>
            <w:r>
              <w:rPr>
                <w:sz w:val="18"/>
              </w:rPr>
              <w:t>[________________________________]</w:t>
            </w:r>
          </w:p>
        </w:tc>
      </w:tr>
      <w:tr>
        <w:trPr>
          <w:cantSplit/>
        </w:trPr>
        <w:tc>
          <w:tcPr>
            <w:tcW w:type="dxa" w:w="3744"/>
            <w:tcBorders>
              <w:top w:val="single" w:sz="4" w:color="D9D9D9"/>
              <w:left w:val="single" w:sz="4" w:color="D9D9D9"/>
              <w:bottom w:val="single" w:sz="4" w:color="D9D9D9"/>
              <w:right w:val="single" w:sz="4" w:color="D9D9D9"/>
            </w:tcBorders>
          </w:tcPr>
          <w:p>
            <w:pPr>
              <w:spacing w:after="80" w:before="80"/>
            </w:pPr>
            <w:r>
              <w:rPr>
                <w:sz w:val="18"/>
              </w:rPr>
              <w:t>Ocena ryzyka i instrukcje</w:t>
            </w:r>
          </w:p>
        </w:tc>
        <w:tc>
          <w:tcPr>
            <w:tcW w:type="dxa" w:w="6192"/>
            <w:tcBorders>
              <w:top w:val="single" w:sz="4" w:color="D9D9D9"/>
              <w:left w:val="single" w:sz="4" w:color="D9D9D9"/>
              <w:bottom w:val="single" w:sz="4" w:color="D9D9D9"/>
              <w:right w:val="single" w:sz="4" w:color="D9D9D9"/>
            </w:tcBorders>
          </w:tcPr>
          <w:p>
            <w:pPr>
              <w:spacing w:after="80" w:before="80"/>
            </w:pPr>
            <w:r>
              <w:rPr>
                <w:sz w:val="18"/>
              </w:rPr>
              <w:t>[________________________________]</w:t>
            </w:r>
          </w:p>
        </w:tc>
      </w:tr>
      <w:tr>
        <w:trPr>
          <w:cantSplit/>
        </w:trPr>
        <w:tc>
          <w:tcPr>
            <w:tcW w:type="dxa" w:w="3744"/>
            <w:tcBorders>
              <w:top w:val="single" w:sz="4" w:color="D9D9D9"/>
              <w:left w:val="single" w:sz="4" w:color="D9D9D9"/>
              <w:bottom w:val="single" w:sz="4" w:color="D9D9D9"/>
              <w:right w:val="single" w:sz="4" w:color="D9D9D9"/>
            </w:tcBorders>
          </w:tcPr>
          <w:p>
            <w:pPr>
              <w:spacing w:after="80" w:before="80"/>
            </w:pPr>
            <w:r>
              <w:rPr>
                <w:sz w:val="18"/>
              </w:rPr>
              <w:t>Szkolenia BHP i dokumentacja</w:t>
            </w:r>
          </w:p>
        </w:tc>
        <w:tc>
          <w:tcPr>
            <w:tcW w:type="dxa" w:w="6192"/>
            <w:tcBorders>
              <w:top w:val="single" w:sz="4" w:color="D9D9D9"/>
              <w:left w:val="single" w:sz="4" w:color="D9D9D9"/>
              <w:bottom w:val="single" w:sz="4" w:color="D9D9D9"/>
              <w:right w:val="single" w:sz="4" w:color="D9D9D9"/>
            </w:tcBorders>
          </w:tcPr>
          <w:p>
            <w:pPr>
              <w:spacing w:after="80" w:before="80"/>
            </w:pPr>
            <w:r>
              <w:rPr>
                <w:sz w:val="18"/>
              </w:rPr>
              <w:t>[________________________________]</w:t>
            </w:r>
          </w:p>
        </w:tc>
      </w:tr>
      <w:tr>
        <w:trPr>
          <w:cantSplit/>
        </w:trPr>
        <w:tc>
          <w:tcPr>
            <w:tcW w:type="dxa" w:w="3744"/>
            <w:tcBorders>
              <w:top w:val="single" w:sz="4" w:color="D9D9D9"/>
              <w:left w:val="single" w:sz="4" w:color="D9D9D9"/>
              <w:bottom w:val="single" w:sz="4" w:color="D9D9D9"/>
              <w:right w:val="single" w:sz="4" w:color="D9D9D9"/>
            </w:tcBorders>
          </w:tcPr>
          <w:p>
            <w:pPr>
              <w:spacing w:after="80" w:before="80"/>
            </w:pPr>
            <w:r>
              <w:rPr>
                <w:sz w:val="18"/>
              </w:rPr>
              <w:t>Postępowania powypadkowe</w:t>
            </w:r>
          </w:p>
        </w:tc>
        <w:tc>
          <w:tcPr>
            <w:tcW w:type="dxa" w:w="6192"/>
            <w:tcBorders>
              <w:top w:val="single" w:sz="4" w:color="D9D9D9"/>
              <w:left w:val="single" w:sz="4" w:color="D9D9D9"/>
              <w:bottom w:val="single" w:sz="4" w:color="D9D9D9"/>
              <w:right w:val="single" w:sz="4" w:color="D9D9D9"/>
            </w:tcBorders>
          </w:tcPr>
          <w:p>
            <w:pPr>
              <w:spacing w:after="80" w:before="80"/>
            </w:pPr>
            <w:r>
              <w:rPr>
                <w:sz w:val="18"/>
              </w:rPr>
              <w:t>[________________________________]</w:t>
            </w:r>
          </w:p>
        </w:tc>
      </w:tr>
      <w:tr>
        <w:trPr>
          <w:cantSplit/>
        </w:trPr>
        <w:tc>
          <w:tcPr>
            <w:tcW w:type="dxa" w:w="3744"/>
            <w:tcBorders>
              <w:top w:val="single" w:sz="4" w:color="D9D9D9"/>
              <w:left w:val="single" w:sz="4" w:color="D9D9D9"/>
              <w:bottom w:val="single" w:sz="4" w:color="D9D9D9"/>
              <w:right w:val="single" w:sz="4" w:color="D9D9D9"/>
            </w:tcBorders>
          </w:tcPr>
          <w:p>
            <w:pPr>
              <w:spacing w:after="80" w:before="80"/>
            </w:pPr>
            <w:r>
              <w:rPr>
                <w:sz w:val="18"/>
              </w:rPr>
              <w:t>Kontrole organizacyjne PPOŻ</w:t>
            </w:r>
          </w:p>
        </w:tc>
        <w:tc>
          <w:tcPr>
            <w:tcW w:type="dxa" w:w="6192"/>
            <w:tcBorders>
              <w:top w:val="single" w:sz="4" w:color="D9D9D9"/>
              <w:left w:val="single" w:sz="4" w:color="D9D9D9"/>
              <w:bottom w:val="single" w:sz="4" w:color="D9D9D9"/>
              <w:right w:val="single" w:sz="4" w:color="D9D9D9"/>
            </w:tcBorders>
          </w:tcPr>
          <w:p>
            <w:pPr>
              <w:spacing w:after="80" w:before="80"/>
            </w:pPr>
            <w:r>
              <w:rPr>
                <w:sz w:val="18"/>
              </w:rPr>
              <w:t>[________________________________]</w:t>
            </w:r>
          </w:p>
        </w:tc>
      </w:tr>
      <w:tr>
        <w:trPr>
          <w:cantSplit/>
        </w:trPr>
        <w:tc>
          <w:tcPr>
            <w:tcW w:type="dxa" w:w="3744"/>
            <w:tcBorders>
              <w:top w:val="single" w:sz="4" w:color="D9D9D9"/>
              <w:left w:val="single" w:sz="4" w:color="D9D9D9"/>
              <w:bottom w:val="single" w:sz="4" w:color="D9D9D9"/>
              <w:right w:val="single" w:sz="4" w:color="D9D9D9"/>
            </w:tcBorders>
          </w:tcPr>
          <w:p>
            <w:pPr>
              <w:spacing w:after="80" w:before="80"/>
            </w:pPr>
            <w:r>
              <w:rPr>
                <w:sz w:val="18"/>
              </w:rPr>
              <w:t>Instrukcja bezpieczeństwa pożarowego</w:t>
            </w:r>
          </w:p>
        </w:tc>
        <w:tc>
          <w:tcPr>
            <w:tcW w:type="dxa" w:w="6192"/>
            <w:tcBorders>
              <w:top w:val="single" w:sz="4" w:color="D9D9D9"/>
              <w:left w:val="single" w:sz="4" w:color="D9D9D9"/>
              <w:bottom w:val="single" w:sz="4" w:color="D9D9D9"/>
              <w:right w:val="single" w:sz="4" w:color="D9D9D9"/>
            </w:tcBorders>
          </w:tcPr>
          <w:p>
            <w:pPr>
              <w:spacing w:after="80" w:before="80"/>
            </w:pPr>
            <w:r>
              <w:rPr>
                <w:sz w:val="18"/>
              </w:rPr>
              <w:t>[________________________________]</w:t>
            </w:r>
          </w:p>
        </w:tc>
      </w:tr>
      <w:tr>
        <w:trPr>
          <w:cantSplit/>
        </w:trPr>
        <w:tc>
          <w:tcPr>
            <w:tcW w:type="dxa" w:w="3744"/>
            <w:tcBorders>
              <w:top w:val="single" w:sz="4" w:color="D9D9D9"/>
              <w:left w:val="single" w:sz="4" w:color="D9D9D9"/>
              <w:bottom w:val="single" w:sz="4" w:color="D9D9D9"/>
              <w:right w:val="single" w:sz="4" w:color="D9D9D9"/>
            </w:tcBorders>
          </w:tcPr>
          <w:p>
            <w:pPr>
              <w:spacing w:after="80" w:before="80"/>
            </w:pPr>
            <w:r>
              <w:rPr>
                <w:sz w:val="18"/>
              </w:rPr>
              <w:t>Szkolenia PPOŻ i ćwiczenia ewakuacji</w:t>
            </w:r>
          </w:p>
        </w:tc>
        <w:tc>
          <w:tcPr>
            <w:tcW w:type="dxa" w:w="6192"/>
            <w:tcBorders>
              <w:top w:val="single" w:sz="4" w:color="D9D9D9"/>
              <w:left w:val="single" w:sz="4" w:color="D9D9D9"/>
              <w:bottom w:val="single" w:sz="4" w:color="D9D9D9"/>
              <w:right w:val="single" w:sz="4" w:color="D9D9D9"/>
            </w:tcBorders>
          </w:tcPr>
          <w:p>
            <w:pPr>
              <w:spacing w:after="80" w:before="80"/>
            </w:pPr>
            <w:r>
              <w:rPr>
                <w:sz w:val="18"/>
              </w:rPr>
              <w:t>[________________________________]</w:t>
            </w:r>
          </w:p>
        </w:tc>
      </w:tr>
      <w:tr>
        <w:trPr>
          <w:cantSplit/>
        </w:trPr>
        <w:tc>
          <w:tcPr>
            <w:tcW w:type="dxa" w:w="3744"/>
            <w:tcBorders>
              <w:top w:val="single" w:sz="4" w:color="D9D9D9"/>
              <w:left w:val="single" w:sz="4" w:color="D9D9D9"/>
              <w:bottom w:val="single" w:sz="4" w:color="D9D9D9"/>
              <w:right w:val="single" w:sz="4" w:color="D9D9D9"/>
            </w:tcBorders>
          </w:tcPr>
          <w:p>
            <w:pPr>
              <w:spacing w:after="80" w:before="80"/>
            </w:pPr>
            <w:r>
              <w:rPr>
                <w:sz w:val="18"/>
              </w:rPr>
              <w:t>Przeglądy i konserwacja gaśnic</w:t>
            </w:r>
          </w:p>
        </w:tc>
        <w:tc>
          <w:tcPr>
            <w:tcW w:type="dxa" w:w="6192"/>
            <w:tcBorders>
              <w:top w:val="single" w:sz="4" w:color="D9D9D9"/>
              <w:left w:val="single" w:sz="4" w:color="D9D9D9"/>
              <w:bottom w:val="single" w:sz="4" w:color="D9D9D9"/>
              <w:right w:val="single" w:sz="4" w:color="D9D9D9"/>
            </w:tcBorders>
          </w:tcPr>
          <w:p>
            <w:pPr>
              <w:spacing w:after="80" w:before="80"/>
            </w:pPr>
            <w:r>
              <w:rPr>
                <w:sz w:val="18"/>
              </w:rPr>
              <w:t>[________________________________]</w:t>
            </w:r>
          </w:p>
        </w:tc>
      </w:tr>
    </w:tbl>
    <w:p>
      <w:pPr>
        <w:pStyle w:val="Heading1"/>
        <w:keepNext/>
        <w:widowControl/>
        <w:spacing w:before="240" w:after="120"/>
      </w:pPr>
      <w:r>
        <w:t>Rozliczenia kwalifikacje i kontakt</w:t>
      </w:r>
    </w:p>
    <w:p>
      <w:pPr>
        <w:keepLines w:val="0"/>
        <w:widowControl/>
        <w:spacing w:after="140" w:line="269" w:lineRule="auto"/>
      </w:pPr>
      <w:r>
        <w:t>Ryczałt netto: [____] zł. Termin płatności: [____] dni. Usługi dodatkowe i stawki: [____].</w:t>
        <w:br/>
        <w:t>Kwalifikacje BHP i aktualne szkolenie Wykonawcy: [dokumenty i daty ________].</w:t>
        <w:br/>
        <w:t>Uprawnienia PPOŻ i termin ważności: [________]. Polisa OC jeżeli uzgodniono: [________].</w:t>
        <w:br/>
        <w:t>Kontakt Zamawiającego i e-mail do doręczeń: [________].</w:t>
        <w:br/>
        <w:t>Kontakt Wykonawcy: 792 208 381, pazdziorko.andrzej@gmail.com.</w:t>
        <w:br/>
        <w:t>Termin raportu i odpowiedzi na zgłoszenie: [____]. Termin przekazania dokumentacji: [____].</w:t>
      </w:r>
    </w:p>
    <w:p>
      <w:pPr>
        <w:keepLines w:val="0"/>
        <w:widowControl/>
        <w:spacing w:after="140" w:line="269" w:lineRule="auto"/>
      </w:pPr>
      <w:r>
        <w:t>ZAMAWIAJĄCY ................................     WYKONAWCA ................................</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ENGADDi  •  Wzór umowy do uzupełnienia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234440" cy="410331"/>
          <wp:docPr id="1" name="Picture 1"/>
          <wp:cNvGraphicFramePr>
            <a:graphicFrameLocks noChangeAspect="1"/>
          </wp:cNvGraphicFramePr>
          <a:graphic>
            <a:graphicData uri="http://schemas.openxmlformats.org/drawingml/2006/picture">
              <pic:pic>
                <pic:nvPicPr>
                  <pic:cNvPr id="0" name="image(20261103-092630).png"/>
                  <pic:cNvPicPr/>
                </pic:nvPicPr>
                <pic:blipFill>
                  <a:blip r:embed="rId1"/>
                  <a:stretch>
                    <a:fillRect/>
                  </a:stretch>
                </pic:blipFill>
                <pic:spPr>
                  <a:xfrm>
                    <a:off x="0" y="0"/>
                    <a:ext cx="1234440" cy="410331"/>
                  </a:xfrm>
                  <a:prstGeom prst="rect"/>
                </pic:spPr>
              </pic:pic>
            </a:graphicData>
          </a:graphic>
        </wp:inline>
      </w:drawing>
    </w:r>
    <w:r>
      <w:rPr>
        <w:sz w:val="18"/>
      </w:rPr>
      <w:t xml:space="preserve">    ENGADDi – Usługi BHP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